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222DB" w14:textId="403AC4C4" w:rsidR="00845843" w:rsidRPr="00F72CCE" w:rsidRDefault="00F72CCE" w:rsidP="00F72CCE">
      <w:pPr>
        <w:jc w:val="right"/>
        <w:rPr>
          <w:rFonts w:ascii="Arial" w:hAnsi="Arial" w:cs="Arial"/>
          <w:b/>
          <w:bCs/>
          <w:sz w:val="24"/>
          <w:szCs w:val="24"/>
        </w:rPr>
      </w:pPr>
      <w:r w:rsidRPr="00F72CCE">
        <w:rPr>
          <w:rFonts w:ascii="Arial" w:hAnsi="Arial" w:cs="Arial"/>
          <w:b/>
          <w:bCs/>
          <w:sz w:val="24"/>
          <w:szCs w:val="24"/>
        </w:rPr>
        <w:t xml:space="preserve">Annexure </w:t>
      </w:r>
      <w:r w:rsidR="002910B4">
        <w:rPr>
          <w:rFonts w:ascii="Arial" w:hAnsi="Arial" w:cs="Arial"/>
          <w:b/>
          <w:bCs/>
          <w:sz w:val="24"/>
          <w:szCs w:val="24"/>
        </w:rPr>
        <w:t>J</w:t>
      </w:r>
      <w:r w:rsidRPr="00F72CCE">
        <w:rPr>
          <w:rFonts w:ascii="Arial" w:hAnsi="Arial" w:cs="Arial"/>
          <w:b/>
          <w:bCs/>
          <w:sz w:val="24"/>
          <w:szCs w:val="24"/>
        </w:rPr>
        <w:t>2</w:t>
      </w:r>
    </w:p>
    <w:p w14:paraId="16EDB576" w14:textId="456ADA1A" w:rsidR="00690243" w:rsidRPr="00690243" w:rsidRDefault="00690243" w:rsidP="00690243">
      <w:pPr>
        <w:spacing w:after="0" w:line="240" w:lineRule="auto"/>
        <w:jc w:val="both"/>
        <w:rPr>
          <w:rFonts w:ascii="Arial" w:hAnsi="Arial" w:cs="Arial"/>
          <w:b/>
          <w:bCs/>
          <w:sz w:val="24"/>
          <w:szCs w:val="24"/>
        </w:rPr>
      </w:pPr>
      <w:r w:rsidRPr="00690243">
        <w:rPr>
          <w:rFonts w:ascii="Arial" w:hAnsi="Arial" w:cs="Arial"/>
          <w:b/>
          <w:bCs/>
          <w:sz w:val="24"/>
          <w:szCs w:val="24"/>
        </w:rPr>
        <w:t xml:space="preserve">The following directives and interpretations shall be followed when completing the risk-weighting columns on form DI 100 and DI 110: </w:t>
      </w:r>
    </w:p>
    <w:p w14:paraId="3857339A" w14:textId="1D2C5FFC" w:rsidR="00690243" w:rsidRPr="00690243" w:rsidRDefault="00690243" w:rsidP="00690243">
      <w:pPr>
        <w:spacing w:after="0" w:line="240" w:lineRule="auto"/>
        <w:jc w:val="both"/>
        <w:rPr>
          <w:rFonts w:ascii="Arial" w:hAnsi="Arial" w:cs="Arial"/>
          <w:sz w:val="24"/>
          <w:szCs w:val="24"/>
        </w:rPr>
      </w:pPr>
    </w:p>
    <w:p w14:paraId="04637C95" w14:textId="7AF670FE" w:rsidR="00690243"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 xml:space="preserve">In completing line item 49 form DI 100, where applicable, regulation </w:t>
      </w:r>
      <w:r w:rsidR="0065228B">
        <w:rPr>
          <w:rFonts w:ascii="Arial" w:hAnsi="Arial" w:cs="Arial"/>
          <w:sz w:val="24"/>
          <w:szCs w:val="24"/>
        </w:rPr>
        <w:t>23</w:t>
      </w:r>
      <w:r w:rsidRPr="00310CA1">
        <w:rPr>
          <w:rFonts w:ascii="Arial" w:hAnsi="Arial" w:cs="Arial"/>
          <w:sz w:val="24"/>
          <w:szCs w:val="24"/>
        </w:rPr>
        <w:t xml:space="preserve">(7)(b) </w:t>
      </w:r>
      <w:r w:rsidR="0065228B">
        <w:rPr>
          <w:rFonts w:ascii="Arial" w:hAnsi="Arial" w:cs="Arial"/>
          <w:sz w:val="24"/>
          <w:szCs w:val="24"/>
        </w:rPr>
        <w:t xml:space="preserve">of the Regulations </w:t>
      </w:r>
      <w:r w:rsidRPr="00310CA1">
        <w:rPr>
          <w:rFonts w:ascii="Arial" w:hAnsi="Arial" w:cs="Arial"/>
          <w:sz w:val="24"/>
          <w:szCs w:val="24"/>
        </w:rPr>
        <w:t>shall apply, provided the asset received in terms of a resale agreement and in the possession of the reporting mutual bank has not been on-sold or pledged in any way whatsoever.</w:t>
      </w:r>
    </w:p>
    <w:p w14:paraId="67071477" w14:textId="77777777" w:rsidR="00E86A34" w:rsidRPr="00310CA1" w:rsidRDefault="00E86A34" w:rsidP="00E86A34">
      <w:pPr>
        <w:pStyle w:val="ListParagraph"/>
        <w:spacing w:after="0" w:line="240" w:lineRule="auto"/>
        <w:jc w:val="both"/>
        <w:rPr>
          <w:rFonts w:ascii="Arial" w:hAnsi="Arial" w:cs="Arial"/>
          <w:sz w:val="24"/>
          <w:szCs w:val="24"/>
        </w:rPr>
      </w:pPr>
    </w:p>
    <w:p w14:paraId="10B5A853" w14:textId="00577ADF"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Investments in securities issued by a special purpose vehicle in terms of a securitisation scheme shall attract the risk weighting applicable to the underlying asset securitized.</w:t>
      </w:r>
    </w:p>
    <w:p w14:paraId="240720B1" w14:textId="2554EC23" w:rsidR="00690243" w:rsidRPr="00690243" w:rsidRDefault="00690243" w:rsidP="00310CA1">
      <w:pPr>
        <w:spacing w:after="0" w:line="240" w:lineRule="auto"/>
        <w:ind w:hanging="720"/>
        <w:jc w:val="both"/>
        <w:rPr>
          <w:rFonts w:ascii="Arial" w:hAnsi="Arial" w:cs="Arial"/>
          <w:sz w:val="24"/>
          <w:szCs w:val="24"/>
        </w:rPr>
      </w:pPr>
    </w:p>
    <w:p w14:paraId="407DE40B" w14:textId="14F392F2"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Loans secured by mortgage on urban residential dwellings and where the monthly instalments on such loans are overdue will attract a risk weighting of 100 percent.</w:t>
      </w:r>
    </w:p>
    <w:p w14:paraId="38A2473F" w14:textId="3C05E328" w:rsidR="00690243" w:rsidRPr="00690243" w:rsidRDefault="00690243" w:rsidP="00310CA1">
      <w:pPr>
        <w:spacing w:after="0" w:line="240" w:lineRule="auto"/>
        <w:ind w:hanging="720"/>
        <w:jc w:val="both"/>
        <w:rPr>
          <w:rFonts w:ascii="Arial" w:hAnsi="Arial" w:cs="Arial"/>
          <w:sz w:val="24"/>
          <w:szCs w:val="24"/>
        </w:rPr>
      </w:pPr>
    </w:p>
    <w:p w14:paraId="44942024" w14:textId="59F850BD"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Debits on a deferred tax account arising from a general provision shall be deducted from general provisions in order to establish the amount that qualifies as secondary unimpaired reserve funds in terms of </w:t>
      </w:r>
      <w:hyperlink r:id="rId7" w:anchor="section48" w:tgtFrame="_blank" w:history="1">
        <w:r w:rsidRPr="00310CA1">
          <w:rPr>
            <w:rStyle w:val="Hyperlink"/>
            <w:rFonts w:ascii="Arial" w:hAnsi="Arial" w:cs="Arial"/>
            <w:color w:val="auto"/>
            <w:sz w:val="24"/>
            <w:szCs w:val="24"/>
            <w:u w:val="none"/>
          </w:rPr>
          <w:t>section 48</w:t>
        </w:r>
      </w:hyperlink>
      <w:r w:rsidRPr="00310CA1">
        <w:rPr>
          <w:rFonts w:ascii="Arial" w:hAnsi="Arial" w:cs="Arial"/>
          <w:sz w:val="24"/>
          <w:szCs w:val="24"/>
        </w:rPr>
        <w:t>(1) of the</w:t>
      </w:r>
      <w:r w:rsidR="0065228B">
        <w:rPr>
          <w:rFonts w:ascii="Arial" w:hAnsi="Arial" w:cs="Arial"/>
          <w:sz w:val="24"/>
          <w:szCs w:val="24"/>
        </w:rPr>
        <w:t xml:space="preserve"> Mutual Banks</w:t>
      </w:r>
      <w:r w:rsidRPr="00310CA1">
        <w:rPr>
          <w:rFonts w:ascii="Arial" w:hAnsi="Arial" w:cs="Arial"/>
          <w:sz w:val="24"/>
          <w:szCs w:val="24"/>
        </w:rPr>
        <w:t xml:space="preserve"> Act.</w:t>
      </w:r>
    </w:p>
    <w:p w14:paraId="01A1E045" w14:textId="171726F5" w:rsidR="00690243" w:rsidRPr="00690243" w:rsidRDefault="00690243" w:rsidP="00310CA1">
      <w:pPr>
        <w:spacing w:after="0" w:line="240" w:lineRule="auto"/>
        <w:ind w:hanging="720"/>
        <w:jc w:val="both"/>
        <w:rPr>
          <w:rFonts w:ascii="Arial" w:hAnsi="Arial" w:cs="Arial"/>
          <w:sz w:val="24"/>
          <w:szCs w:val="24"/>
        </w:rPr>
      </w:pPr>
    </w:p>
    <w:p w14:paraId="3A256CB7" w14:textId="5E825F82"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Performance-related guarantee means an undertaking by a mutual bank on behalf of one person to another where the potential obligation of the mutual bank as to the value or time of performance cannot be determined at the time of issue of the guarantee but only in the event and at the time of default by the first-named person, and includes foreign financing in the form of trade financing, other than drawdowns under usance letters of credit, and term borrowings, where in both cases the financing or borrowing is self-liquidating and linked directly with and is immediately preceded by a specific transaction relating to merchandise, capital equipment or services, raised by a mutual bank or by a client in the client’s own name and guaranteed by the reporting mutual bank.</w:t>
      </w:r>
    </w:p>
    <w:p w14:paraId="735F3FBA" w14:textId="77777777" w:rsidR="00310CA1" w:rsidRDefault="00310CA1" w:rsidP="00310CA1">
      <w:pPr>
        <w:spacing w:after="0" w:line="240" w:lineRule="auto"/>
        <w:ind w:hanging="720"/>
        <w:jc w:val="both"/>
        <w:rPr>
          <w:rFonts w:ascii="Arial" w:hAnsi="Arial" w:cs="Arial"/>
          <w:sz w:val="24"/>
          <w:szCs w:val="24"/>
        </w:rPr>
      </w:pPr>
    </w:p>
    <w:p w14:paraId="4F8CDD4E" w14:textId="6D6A1024"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Letters of credit comprise all unutilized letters of credit facilities granted for domestic and foreign transactions, confirmed letters of credit in respect of mutual banks and letters of authority, and include the following:</w:t>
      </w:r>
    </w:p>
    <w:p w14:paraId="6A12CA68" w14:textId="5C15865D" w:rsidR="00690243" w:rsidRPr="00690243" w:rsidRDefault="00690243" w:rsidP="00690243">
      <w:pPr>
        <w:spacing w:after="0" w:line="240" w:lineRule="auto"/>
        <w:jc w:val="both"/>
        <w:rPr>
          <w:rFonts w:ascii="Arial" w:hAnsi="Arial" w:cs="Arial"/>
          <w:sz w:val="24"/>
          <w:szCs w:val="24"/>
        </w:rPr>
      </w:pPr>
    </w:p>
    <w:p w14:paraId="6DEBE626" w14:textId="3D9C752C" w:rsidR="00690243" w:rsidRPr="00310CA1" w:rsidRDefault="00690243" w:rsidP="00310CA1">
      <w:pPr>
        <w:pStyle w:val="ListParagraph"/>
        <w:numPr>
          <w:ilvl w:val="0"/>
          <w:numId w:val="3"/>
        </w:numPr>
        <w:tabs>
          <w:tab w:val="left" w:pos="1418"/>
        </w:tabs>
        <w:spacing w:after="0" w:line="240" w:lineRule="auto"/>
        <w:ind w:left="1276" w:hanging="567"/>
        <w:jc w:val="both"/>
        <w:rPr>
          <w:rFonts w:ascii="Arial" w:hAnsi="Arial" w:cs="Arial"/>
          <w:sz w:val="24"/>
          <w:szCs w:val="24"/>
        </w:rPr>
      </w:pPr>
      <w:r w:rsidRPr="00310CA1">
        <w:rPr>
          <w:rFonts w:ascii="Arial" w:hAnsi="Arial" w:cs="Arial"/>
          <w:sz w:val="24"/>
          <w:szCs w:val="24"/>
        </w:rPr>
        <w:t>documentary credits outwards for domestic and foreign transactions (sight and usance); and</w:t>
      </w:r>
    </w:p>
    <w:p w14:paraId="0DE92F00" w14:textId="37CF0179" w:rsidR="00690243" w:rsidRPr="00690243" w:rsidRDefault="00690243" w:rsidP="00310CA1">
      <w:pPr>
        <w:tabs>
          <w:tab w:val="left" w:pos="1418"/>
        </w:tabs>
        <w:spacing w:after="0" w:line="240" w:lineRule="auto"/>
        <w:ind w:left="1276" w:hanging="567"/>
        <w:jc w:val="both"/>
        <w:rPr>
          <w:rFonts w:ascii="Arial" w:hAnsi="Arial" w:cs="Arial"/>
          <w:sz w:val="24"/>
          <w:szCs w:val="24"/>
        </w:rPr>
      </w:pPr>
    </w:p>
    <w:p w14:paraId="45BCDBC1" w14:textId="774D7CB0" w:rsidR="00690243" w:rsidRPr="00310CA1" w:rsidRDefault="00690243" w:rsidP="00310CA1">
      <w:pPr>
        <w:pStyle w:val="ListParagraph"/>
        <w:numPr>
          <w:ilvl w:val="0"/>
          <w:numId w:val="3"/>
        </w:numPr>
        <w:tabs>
          <w:tab w:val="left" w:pos="1418"/>
        </w:tabs>
        <w:spacing w:after="0" w:line="240" w:lineRule="auto"/>
        <w:ind w:left="1276" w:hanging="567"/>
        <w:jc w:val="both"/>
        <w:rPr>
          <w:rFonts w:ascii="Arial" w:hAnsi="Arial" w:cs="Arial"/>
          <w:sz w:val="24"/>
          <w:szCs w:val="24"/>
        </w:rPr>
      </w:pPr>
      <w:r w:rsidRPr="00310CA1">
        <w:rPr>
          <w:rFonts w:ascii="Arial" w:hAnsi="Arial" w:cs="Arial"/>
          <w:sz w:val="24"/>
          <w:szCs w:val="24"/>
        </w:rPr>
        <w:t>documentary credits inwards (sight and usance) confirmed and/or accepted.</w:t>
      </w:r>
    </w:p>
    <w:p w14:paraId="79476343" w14:textId="75E33496" w:rsidR="00690243" w:rsidRPr="00690243" w:rsidRDefault="00690243" w:rsidP="00690243">
      <w:pPr>
        <w:spacing w:after="0" w:line="240" w:lineRule="auto"/>
        <w:jc w:val="both"/>
        <w:rPr>
          <w:rFonts w:ascii="Arial" w:hAnsi="Arial" w:cs="Arial"/>
          <w:sz w:val="24"/>
          <w:szCs w:val="24"/>
        </w:rPr>
      </w:pPr>
    </w:p>
    <w:p w14:paraId="42B7ED9D" w14:textId="3938130F"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A letter of credit shall be considered irrevocable if the mutual bank commits itself to honouring the obligation. The credit may not be cancelled or amended without the prior agreement of all parties.</w:t>
      </w:r>
    </w:p>
    <w:p w14:paraId="252365A5" w14:textId="77777777" w:rsidR="00690243" w:rsidRPr="00690243" w:rsidRDefault="00690243" w:rsidP="00310CA1">
      <w:pPr>
        <w:spacing w:after="0" w:line="240" w:lineRule="auto"/>
        <w:ind w:hanging="720"/>
        <w:jc w:val="both"/>
        <w:rPr>
          <w:rFonts w:ascii="Arial" w:hAnsi="Arial" w:cs="Arial"/>
          <w:sz w:val="24"/>
          <w:szCs w:val="24"/>
        </w:rPr>
      </w:pPr>
      <w:r w:rsidRPr="00690243">
        <w:rPr>
          <w:rFonts w:ascii="Arial" w:hAnsi="Arial" w:cs="Arial"/>
          <w:sz w:val="24"/>
          <w:szCs w:val="24"/>
        </w:rPr>
        <w:t> </w:t>
      </w:r>
    </w:p>
    <w:p w14:paraId="59FF3AF7" w14:textId="105D5C24"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Letters of credit serving as financial guarantees shall be regarded as lending related guarantees.</w:t>
      </w:r>
    </w:p>
    <w:p w14:paraId="2F85EF45" w14:textId="4B268C5E" w:rsidR="00690243" w:rsidRPr="00690243" w:rsidRDefault="00690243" w:rsidP="00310CA1">
      <w:pPr>
        <w:spacing w:after="0" w:line="240" w:lineRule="auto"/>
        <w:ind w:hanging="720"/>
        <w:jc w:val="both"/>
        <w:rPr>
          <w:rFonts w:ascii="Arial" w:hAnsi="Arial" w:cs="Arial"/>
          <w:sz w:val="24"/>
          <w:szCs w:val="24"/>
        </w:rPr>
      </w:pPr>
    </w:p>
    <w:p w14:paraId="4039063B" w14:textId="66416D18"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Unutilized facilities shall include loans and other credit facilities granted (whether for fixed or varying amounts) but not paid out to or used by clients, and include unutilized overdraft facilities on current account, unutilized acceptance facilities and unutilized revolving credit facilities to which the reporting mutual bank has been irrevocably committed.</w:t>
      </w:r>
    </w:p>
    <w:p w14:paraId="66B0C8F1" w14:textId="6F4626D6" w:rsidR="00690243" w:rsidRPr="00690243" w:rsidRDefault="00690243" w:rsidP="00310CA1">
      <w:pPr>
        <w:spacing w:after="0" w:line="240" w:lineRule="auto"/>
        <w:ind w:hanging="720"/>
        <w:jc w:val="both"/>
        <w:rPr>
          <w:rFonts w:ascii="Arial" w:hAnsi="Arial" w:cs="Arial"/>
          <w:sz w:val="24"/>
          <w:szCs w:val="24"/>
        </w:rPr>
      </w:pPr>
    </w:p>
    <w:p w14:paraId="2719B8A4" w14:textId="1309234B"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Irrevocable loans and other credit facilities are those that cannot be unconditionally cancelled at any time.</w:t>
      </w:r>
    </w:p>
    <w:p w14:paraId="20CD456B" w14:textId="6BA8E2EA" w:rsidR="00690243" w:rsidRPr="00690243" w:rsidRDefault="00690243" w:rsidP="00310CA1">
      <w:pPr>
        <w:spacing w:after="0" w:line="240" w:lineRule="auto"/>
        <w:ind w:hanging="720"/>
        <w:jc w:val="both"/>
        <w:rPr>
          <w:rFonts w:ascii="Arial" w:hAnsi="Arial" w:cs="Arial"/>
          <w:sz w:val="24"/>
          <w:szCs w:val="24"/>
        </w:rPr>
      </w:pPr>
    </w:p>
    <w:p w14:paraId="7DECEB8A" w14:textId="5FD4D57E"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Irrevocable, unutilized draw-down facilities are those, regardless of the original maturity thereof, granted in terms of an agreement whereby such facilities will be drawn down in agreed amounts during prearranged periods. Capital shall be required to be held only against those amounts that the bank is committed to advancing during the quarter following on the reporting date of the form DI 400.</w:t>
      </w:r>
    </w:p>
    <w:p w14:paraId="05150CE4" w14:textId="072972EF" w:rsidR="00690243" w:rsidRPr="00690243" w:rsidRDefault="00690243" w:rsidP="00310CA1">
      <w:pPr>
        <w:spacing w:after="0" w:line="240" w:lineRule="auto"/>
        <w:ind w:hanging="720"/>
        <w:jc w:val="both"/>
        <w:rPr>
          <w:rFonts w:ascii="Arial" w:hAnsi="Arial" w:cs="Arial"/>
          <w:sz w:val="24"/>
          <w:szCs w:val="24"/>
        </w:rPr>
      </w:pPr>
    </w:p>
    <w:p w14:paraId="139C2EC5" w14:textId="008E47EC"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Underwriting exposures include all underwriting commitments, whether in writing or given verbally, including all note-issuance facilities and revolving underwriting facilities where the contingent risk arises from the mutual bank’s role as underwriter of such issues, guaranteeing to provide funds when other parties have refused to do so.</w:t>
      </w:r>
    </w:p>
    <w:p w14:paraId="69BAE7EC" w14:textId="22CD3D57" w:rsidR="00690243" w:rsidRPr="00690243" w:rsidRDefault="00690243" w:rsidP="00310CA1">
      <w:pPr>
        <w:spacing w:after="0" w:line="240" w:lineRule="auto"/>
        <w:ind w:hanging="720"/>
        <w:jc w:val="both"/>
        <w:rPr>
          <w:rFonts w:ascii="Arial" w:hAnsi="Arial" w:cs="Arial"/>
          <w:sz w:val="24"/>
          <w:szCs w:val="24"/>
        </w:rPr>
      </w:pPr>
    </w:p>
    <w:p w14:paraId="426036F4" w14:textId="1D9D4552"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The effective net open position in foreign currencies shall be as calculated in line item 8 of column 8 on form DI 600 (Currency risk), converted into rand.</w:t>
      </w:r>
    </w:p>
    <w:p w14:paraId="00290FE7" w14:textId="3B839066" w:rsidR="00690243" w:rsidRPr="00690243" w:rsidRDefault="00690243" w:rsidP="00310CA1">
      <w:pPr>
        <w:spacing w:after="0" w:line="240" w:lineRule="auto"/>
        <w:ind w:hanging="720"/>
        <w:jc w:val="both"/>
        <w:rPr>
          <w:rFonts w:ascii="Arial" w:hAnsi="Arial" w:cs="Arial"/>
          <w:sz w:val="24"/>
          <w:szCs w:val="24"/>
        </w:rPr>
      </w:pPr>
    </w:p>
    <w:p w14:paraId="4253BB8D" w14:textId="64C79C3C"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Portfolio’s managed by others on behalf of the reporting mutual bank shall include assets not reported on form DI 100, and the applicable risk weighting shall be the same as in respect of the relevant asset.</w:t>
      </w:r>
    </w:p>
    <w:p w14:paraId="214EF7A1" w14:textId="0BA7F0A1" w:rsidR="00690243" w:rsidRPr="00690243" w:rsidRDefault="00690243" w:rsidP="00310CA1">
      <w:pPr>
        <w:spacing w:after="0" w:line="240" w:lineRule="auto"/>
        <w:ind w:hanging="720"/>
        <w:jc w:val="both"/>
        <w:rPr>
          <w:rFonts w:ascii="Arial" w:hAnsi="Arial" w:cs="Arial"/>
          <w:sz w:val="24"/>
          <w:szCs w:val="24"/>
        </w:rPr>
      </w:pPr>
    </w:p>
    <w:p w14:paraId="6D7E9076" w14:textId="0F78E59D"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Portfolio’s managed for others, and for which financing is provided shall include financing provided for the purpose of acquiring a portfolio of investments managed by the reporting mutual bank, which financing has not been reported on form DI 100, and the applicable risk weighting shall be the same as in respect of the relevant financing.</w:t>
      </w:r>
    </w:p>
    <w:p w14:paraId="2B78E8D1" w14:textId="77777777" w:rsidR="00690243" w:rsidRPr="00690243" w:rsidRDefault="00690243" w:rsidP="00310CA1">
      <w:pPr>
        <w:spacing w:after="0" w:line="240" w:lineRule="auto"/>
        <w:ind w:hanging="720"/>
        <w:jc w:val="both"/>
        <w:rPr>
          <w:rFonts w:ascii="Arial" w:hAnsi="Arial" w:cs="Arial"/>
          <w:sz w:val="24"/>
          <w:szCs w:val="24"/>
        </w:rPr>
      </w:pPr>
      <w:r w:rsidRPr="00690243">
        <w:rPr>
          <w:rFonts w:ascii="Arial" w:hAnsi="Arial" w:cs="Arial"/>
          <w:sz w:val="24"/>
          <w:szCs w:val="24"/>
        </w:rPr>
        <w:t> </w:t>
      </w:r>
    </w:p>
    <w:p w14:paraId="58886DC5" w14:textId="0858D2E0" w:rsidR="00690243" w:rsidRPr="00310CA1" w:rsidRDefault="00690243" w:rsidP="00310CA1">
      <w:pPr>
        <w:pStyle w:val="ListParagraph"/>
        <w:numPr>
          <w:ilvl w:val="0"/>
          <w:numId w:val="2"/>
        </w:numPr>
        <w:spacing w:after="0" w:line="240" w:lineRule="auto"/>
        <w:ind w:hanging="720"/>
        <w:jc w:val="both"/>
        <w:rPr>
          <w:rFonts w:ascii="Arial" w:hAnsi="Arial" w:cs="Arial"/>
          <w:sz w:val="24"/>
          <w:szCs w:val="24"/>
        </w:rPr>
      </w:pPr>
      <w:r w:rsidRPr="00310CA1">
        <w:rPr>
          <w:rFonts w:ascii="Arial" w:hAnsi="Arial" w:cs="Arial"/>
          <w:sz w:val="24"/>
          <w:szCs w:val="24"/>
        </w:rPr>
        <w:t>TABLE OF RISK WEIGHTINGS</w:t>
      </w:r>
    </w:p>
    <w:p w14:paraId="04E8023A"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85"/>
        <w:gridCol w:w="7231"/>
      </w:tblGrid>
      <w:tr w:rsidR="00690243" w:rsidRPr="00690243" w14:paraId="5BF628F1" w14:textId="77777777" w:rsidTr="002910B4">
        <w:tc>
          <w:tcPr>
            <w:tcW w:w="990" w:type="pct"/>
            <w:shd w:val="clear" w:color="auto" w:fill="BFBFBF" w:themeFill="background1" w:themeFillShade="BF"/>
            <w:tcMar>
              <w:top w:w="0" w:type="dxa"/>
              <w:left w:w="108" w:type="dxa"/>
              <w:bottom w:w="0" w:type="dxa"/>
              <w:right w:w="108" w:type="dxa"/>
            </w:tcMar>
            <w:hideMark/>
          </w:tcPr>
          <w:p w14:paraId="53AA0E83"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b/>
                <w:bCs/>
                <w:sz w:val="24"/>
                <w:szCs w:val="24"/>
              </w:rPr>
              <w:t>Risk weighting</w:t>
            </w:r>
          </w:p>
          <w:p w14:paraId="3DFB8E35"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b/>
                <w:bCs/>
                <w:sz w:val="24"/>
                <w:szCs w:val="24"/>
              </w:rPr>
              <w:t>%</w:t>
            </w:r>
          </w:p>
        </w:tc>
        <w:tc>
          <w:tcPr>
            <w:tcW w:w="4010" w:type="pct"/>
            <w:shd w:val="clear" w:color="auto" w:fill="BFBFBF" w:themeFill="background1" w:themeFillShade="BF"/>
            <w:tcMar>
              <w:top w:w="0" w:type="dxa"/>
              <w:left w:w="108" w:type="dxa"/>
              <w:bottom w:w="0" w:type="dxa"/>
              <w:right w:w="108" w:type="dxa"/>
            </w:tcMar>
            <w:hideMark/>
          </w:tcPr>
          <w:p w14:paraId="768B6031"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b/>
                <w:bCs/>
                <w:sz w:val="24"/>
                <w:szCs w:val="24"/>
              </w:rPr>
              <w:t>Transactions with the following counterparties (including contingent liabilities)</w:t>
            </w:r>
          </w:p>
        </w:tc>
      </w:tr>
      <w:tr w:rsidR="00690243" w:rsidRPr="00690243" w14:paraId="6C8EE1CF" w14:textId="77777777" w:rsidTr="002910B4">
        <w:tc>
          <w:tcPr>
            <w:tcW w:w="990" w:type="pct"/>
            <w:shd w:val="clear" w:color="auto" w:fill="FFFFFF"/>
            <w:tcMar>
              <w:top w:w="0" w:type="dxa"/>
              <w:left w:w="108" w:type="dxa"/>
              <w:bottom w:w="0" w:type="dxa"/>
              <w:right w:w="108" w:type="dxa"/>
            </w:tcMar>
            <w:hideMark/>
          </w:tcPr>
          <w:p w14:paraId="0D8D8A2F"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0</w:t>
            </w:r>
          </w:p>
        </w:tc>
        <w:tc>
          <w:tcPr>
            <w:tcW w:w="4010" w:type="pct"/>
            <w:shd w:val="clear" w:color="auto" w:fill="FFFFFF"/>
            <w:tcMar>
              <w:top w:w="0" w:type="dxa"/>
              <w:left w:w="108" w:type="dxa"/>
              <w:bottom w:w="0" w:type="dxa"/>
              <w:right w:w="108" w:type="dxa"/>
            </w:tcMar>
            <w:hideMark/>
          </w:tcPr>
          <w:p w14:paraId="09FADE61"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Central government of RSA and OECD countries</w:t>
            </w:r>
          </w:p>
          <w:p w14:paraId="7831F6A4"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Explicit guarantees by central government</w:t>
            </w:r>
          </w:p>
          <w:p w14:paraId="2FCFF5C1"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Central banks of RSA and OECD countries</w:t>
            </w:r>
          </w:p>
          <w:p w14:paraId="5813B079"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Intragroup advances to banks and mutual banks (including NCDs)</w:t>
            </w:r>
          </w:p>
          <w:p w14:paraId="0665F71D"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Bank notes, subsidiary coin, gold coin and bullion</w:t>
            </w:r>
          </w:p>
          <w:p w14:paraId="10C5CF42"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Corporation for Public Deposits</w:t>
            </w:r>
          </w:p>
          <w:p w14:paraId="0FACC18A"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Deferred tax debits not arising from an assessed loss</w:t>
            </w:r>
          </w:p>
          <w:p w14:paraId="71898533"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Postal and money orders, service deposits and stamps</w:t>
            </w:r>
          </w:p>
          <w:p w14:paraId="43C7ECF7"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Performance-related guarantees on behalf. of RSA and public-sector bodies and governments in common monetary area</w:t>
            </w:r>
          </w:p>
          <w:p w14:paraId="67DA87E2"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lastRenderedPageBreak/>
              <w:t>Irrevocable letters of credit with an original maturity of up to three months</w:t>
            </w:r>
          </w:p>
          <w:p w14:paraId="459BE63B"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letters of credit and unutilized facilities to the central government of RSA and OECD countries, regardless of the original maturity thereof</w:t>
            </w:r>
          </w:p>
          <w:p w14:paraId="08DC4C50"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All irrevocable, unutilized facilities with an original maturity of less than one year</w:t>
            </w:r>
          </w:p>
          <w:p w14:paraId="06685B9A"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unutilized draw-down facilities to the central government of RSA and OECD countries</w:t>
            </w:r>
          </w:p>
        </w:tc>
      </w:tr>
      <w:tr w:rsidR="00690243" w:rsidRPr="00690243" w14:paraId="6FC8212C" w14:textId="77777777" w:rsidTr="002910B4">
        <w:tc>
          <w:tcPr>
            <w:tcW w:w="990" w:type="pct"/>
            <w:shd w:val="clear" w:color="auto" w:fill="FFFFFF"/>
            <w:tcMar>
              <w:top w:w="0" w:type="dxa"/>
              <w:left w:w="108" w:type="dxa"/>
              <w:bottom w:w="0" w:type="dxa"/>
              <w:right w:w="108" w:type="dxa"/>
            </w:tcMar>
            <w:hideMark/>
          </w:tcPr>
          <w:p w14:paraId="4079AB40"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lastRenderedPageBreak/>
              <w:t>5</w:t>
            </w:r>
          </w:p>
        </w:tc>
        <w:tc>
          <w:tcPr>
            <w:tcW w:w="4010" w:type="pct"/>
            <w:shd w:val="clear" w:color="auto" w:fill="FFFFFF"/>
            <w:tcMar>
              <w:top w:w="0" w:type="dxa"/>
              <w:left w:w="108" w:type="dxa"/>
              <w:bottom w:w="0" w:type="dxa"/>
              <w:right w:w="108" w:type="dxa"/>
            </w:tcMar>
            <w:hideMark/>
          </w:tcPr>
          <w:p w14:paraId="16AB8334"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letters of credit with an original maturity of more than three months on behalf of public-sector bodies</w:t>
            </w:r>
          </w:p>
          <w:p w14:paraId="4CD52A45"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unutilized facilities with an original maturity of one year and over to public-sector bodies</w:t>
            </w:r>
          </w:p>
          <w:p w14:paraId="28C384BD"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unutilized draw-down facilities to public-sector bodies</w:t>
            </w:r>
          </w:p>
        </w:tc>
      </w:tr>
      <w:tr w:rsidR="00690243" w:rsidRPr="00690243" w14:paraId="0833238A" w14:textId="77777777" w:rsidTr="002910B4">
        <w:tc>
          <w:tcPr>
            <w:tcW w:w="990" w:type="pct"/>
            <w:shd w:val="clear" w:color="auto" w:fill="FFFFFF"/>
            <w:tcMar>
              <w:top w:w="0" w:type="dxa"/>
              <w:left w:w="108" w:type="dxa"/>
              <w:bottom w:w="0" w:type="dxa"/>
              <w:right w:w="108" w:type="dxa"/>
            </w:tcMar>
            <w:hideMark/>
          </w:tcPr>
          <w:p w14:paraId="6BAD7F01"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10</w:t>
            </w:r>
          </w:p>
        </w:tc>
        <w:tc>
          <w:tcPr>
            <w:tcW w:w="4010" w:type="pct"/>
            <w:shd w:val="clear" w:color="auto" w:fill="FFFFFF"/>
            <w:tcMar>
              <w:top w:w="0" w:type="dxa"/>
              <w:left w:w="108" w:type="dxa"/>
              <w:bottom w:w="0" w:type="dxa"/>
              <w:right w:w="108" w:type="dxa"/>
            </w:tcMar>
            <w:hideMark/>
          </w:tcPr>
          <w:p w14:paraId="79EE4A76"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RSA public-sector bodies</w:t>
            </w:r>
          </w:p>
          <w:p w14:paraId="45AB8FDF"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Central governments of countries in common monetary area</w:t>
            </w:r>
          </w:p>
          <w:p w14:paraId="61BB335A"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Performance-related guarantees on behalf of domestic banks, mutual banks and banks in OECD countries</w:t>
            </w:r>
          </w:p>
          <w:p w14:paraId="65ADFFA0"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letters of credit with an original maturity of longer than three months on behalf of banks and mutual banks in RSA and OECD countries</w:t>
            </w:r>
          </w:p>
          <w:p w14:paraId="5F348799"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unutilized facilities with an original maturity of one year and over to banks and mutual banks in RSA and OECD countries</w:t>
            </w:r>
          </w:p>
          <w:p w14:paraId="7D42D6B0"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unutilized draw-down facilities to banks and mutual banks in RSA and OECD countries</w:t>
            </w:r>
          </w:p>
        </w:tc>
      </w:tr>
      <w:tr w:rsidR="00690243" w:rsidRPr="00690243" w14:paraId="2199E854" w14:textId="77777777" w:rsidTr="002910B4">
        <w:tc>
          <w:tcPr>
            <w:tcW w:w="990" w:type="pct"/>
            <w:shd w:val="clear" w:color="auto" w:fill="FFFFFF"/>
            <w:tcMar>
              <w:top w:w="0" w:type="dxa"/>
              <w:left w:w="108" w:type="dxa"/>
              <w:bottom w:w="0" w:type="dxa"/>
              <w:right w:w="108" w:type="dxa"/>
            </w:tcMar>
            <w:hideMark/>
          </w:tcPr>
          <w:p w14:paraId="2CE71384"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20</w:t>
            </w:r>
          </w:p>
        </w:tc>
        <w:tc>
          <w:tcPr>
            <w:tcW w:w="4010" w:type="pct"/>
            <w:shd w:val="clear" w:color="auto" w:fill="FFFFFF"/>
            <w:tcMar>
              <w:top w:w="0" w:type="dxa"/>
              <w:left w:w="108" w:type="dxa"/>
              <w:bottom w:w="0" w:type="dxa"/>
              <w:right w:w="108" w:type="dxa"/>
            </w:tcMar>
            <w:hideMark/>
          </w:tcPr>
          <w:p w14:paraId="37E47324"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Public-sector bodies in common monetary area countries Banks and mutual banks in RSA and OECD countries</w:t>
            </w:r>
          </w:p>
          <w:p w14:paraId="5221EACB"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Banks in other countries where residual maturity is less than or equal to 12 months</w:t>
            </w:r>
          </w:p>
          <w:p w14:paraId="7A3948DB"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letters of credit for a period of longer than three months to all other parties</w:t>
            </w:r>
          </w:p>
          <w:p w14:paraId="02ACF4F8"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unutilized draw-down facilities to banks in non-OECD countries</w:t>
            </w:r>
          </w:p>
          <w:p w14:paraId="403E87DD"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Irrevocable, unutilized facilities with an original maturity of one year and over to banks in non-OECD countries</w:t>
            </w:r>
          </w:p>
          <w:p w14:paraId="39EF04DA"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Committed capital expenditure</w:t>
            </w:r>
          </w:p>
        </w:tc>
      </w:tr>
      <w:tr w:rsidR="00690243" w:rsidRPr="00690243" w14:paraId="40D6280E" w14:textId="77777777" w:rsidTr="002910B4">
        <w:tc>
          <w:tcPr>
            <w:tcW w:w="990" w:type="pct"/>
            <w:shd w:val="clear" w:color="auto" w:fill="FFFFFF"/>
            <w:tcMar>
              <w:top w:w="0" w:type="dxa"/>
              <w:left w:w="108" w:type="dxa"/>
              <w:bottom w:w="0" w:type="dxa"/>
              <w:right w:w="108" w:type="dxa"/>
            </w:tcMar>
            <w:hideMark/>
          </w:tcPr>
          <w:p w14:paraId="28729CC8"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50</w:t>
            </w:r>
          </w:p>
        </w:tc>
        <w:tc>
          <w:tcPr>
            <w:tcW w:w="4010" w:type="pct"/>
            <w:shd w:val="clear" w:color="auto" w:fill="FFFFFF"/>
            <w:tcMar>
              <w:top w:w="0" w:type="dxa"/>
              <w:left w:w="108" w:type="dxa"/>
              <w:bottom w:w="0" w:type="dxa"/>
              <w:right w:w="108" w:type="dxa"/>
            </w:tcMar>
            <w:hideMark/>
          </w:tcPr>
          <w:p w14:paraId="4FF57C52"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Banks in non-OECD countries where the residual maturity is greater than 12 months</w:t>
            </w:r>
          </w:p>
          <w:p w14:paraId="17AF4390"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Loans fully secured by mortgages on urban residential dwellings or individual sectional</w:t>
            </w:r>
          </w:p>
          <w:p w14:paraId="39BFA2C3"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title dwellings which are repayable in equal monthly instalments, where the monthly instalments are not overdue and where the capital amount outstanding does not exceed of the market valuation of the property</w:t>
            </w:r>
          </w:p>
          <w:p w14:paraId="07D3D634"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Performance-related guarantees on behalf of non-banks, excluding central banks and public-sector bodies in the common monetary area</w:t>
            </w:r>
          </w:p>
          <w:p w14:paraId="64CD47AE"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Remittances in transit</w:t>
            </w:r>
          </w:p>
          <w:p w14:paraId="3243C04B"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All other irrevocable facilities, including all other unutilized draw-down facilities</w:t>
            </w:r>
          </w:p>
          <w:p w14:paraId="6C34CE2B"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lastRenderedPageBreak/>
              <w:t>Underwriting exposures</w:t>
            </w:r>
          </w:p>
        </w:tc>
      </w:tr>
      <w:tr w:rsidR="00690243" w:rsidRPr="00690243" w14:paraId="7AF83273" w14:textId="77777777" w:rsidTr="002910B4">
        <w:tc>
          <w:tcPr>
            <w:tcW w:w="990" w:type="pct"/>
            <w:shd w:val="clear" w:color="auto" w:fill="FFFFFF"/>
            <w:tcMar>
              <w:top w:w="0" w:type="dxa"/>
              <w:left w:w="108" w:type="dxa"/>
              <w:bottom w:w="0" w:type="dxa"/>
              <w:right w:w="108" w:type="dxa"/>
            </w:tcMar>
            <w:hideMark/>
          </w:tcPr>
          <w:p w14:paraId="72CB723B"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lastRenderedPageBreak/>
              <w:t>100</w:t>
            </w:r>
          </w:p>
        </w:tc>
        <w:tc>
          <w:tcPr>
            <w:tcW w:w="4010" w:type="pct"/>
            <w:shd w:val="clear" w:color="auto" w:fill="FFFFFF"/>
            <w:tcMar>
              <w:top w:w="0" w:type="dxa"/>
              <w:left w:w="108" w:type="dxa"/>
              <w:bottom w:w="0" w:type="dxa"/>
              <w:right w:w="108" w:type="dxa"/>
            </w:tcMar>
            <w:hideMark/>
          </w:tcPr>
          <w:p w14:paraId="01EA36C7"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All other counterparties and assets not covered above</w:t>
            </w:r>
          </w:p>
          <w:p w14:paraId="11440ECB"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Effective net open position in foreign currencies</w:t>
            </w:r>
          </w:p>
        </w:tc>
      </w:tr>
      <w:tr w:rsidR="00690243" w:rsidRPr="00690243" w14:paraId="7D46BED3" w14:textId="77777777" w:rsidTr="002910B4">
        <w:tc>
          <w:tcPr>
            <w:tcW w:w="990" w:type="pct"/>
            <w:shd w:val="clear" w:color="auto" w:fill="FFFFFF"/>
            <w:tcMar>
              <w:top w:w="0" w:type="dxa"/>
              <w:left w:w="108" w:type="dxa"/>
              <w:bottom w:w="0" w:type="dxa"/>
              <w:right w:w="108" w:type="dxa"/>
            </w:tcMar>
            <w:hideMark/>
          </w:tcPr>
          <w:p w14:paraId="1EB4592B" w14:textId="6FBABA60"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 xml:space="preserve">See </w:t>
            </w:r>
            <w:r w:rsidR="00636F5C">
              <w:rPr>
                <w:rFonts w:ascii="Arial" w:hAnsi="Arial" w:cs="Arial"/>
                <w:sz w:val="24"/>
                <w:szCs w:val="24"/>
              </w:rPr>
              <w:t>paragraphs</w:t>
            </w:r>
            <w:r w:rsidRPr="00690243">
              <w:rPr>
                <w:rFonts w:ascii="Arial" w:hAnsi="Arial" w:cs="Arial"/>
                <w:sz w:val="24"/>
                <w:szCs w:val="24"/>
              </w:rPr>
              <w:t xml:space="preserve"> (n) and (o)</w:t>
            </w:r>
          </w:p>
        </w:tc>
        <w:tc>
          <w:tcPr>
            <w:tcW w:w="4010" w:type="pct"/>
            <w:shd w:val="clear" w:color="auto" w:fill="FFFFFF"/>
            <w:tcMar>
              <w:top w:w="0" w:type="dxa"/>
              <w:left w:w="108" w:type="dxa"/>
              <w:bottom w:w="0" w:type="dxa"/>
              <w:right w:w="108" w:type="dxa"/>
            </w:tcMar>
            <w:hideMark/>
          </w:tcPr>
          <w:p w14:paraId="07CD95F9"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Portfolios managed by others on behalf of the mutual bank</w:t>
            </w:r>
          </w:p>
          <w:p w14:paraId="74FF32A4"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Portfolios managed for others, where financing is provided</w:t>
            </w:r>
          </w:p>
        </w:tc>
      </w:tr>
      <w:tr w:rsidR="00690243" w:rsidRPr="00690243" w14:paraId="65028D15" w14:textId="77777777" w:rsidTr="002910B4">
        <w:tc>
          <w:tcPr>
            <w:tcW w:w="990" w:type="pct"/>
            <w:shd w:val="clear" w:color="auto" w:fill="FFFFFF"/>
            <w:tcMar>
              <w:top w:w="0" w:type="dxa"/>
              <w:left w:w="108" w:type="dxa"/>
              <w:bottom w:w="0" w:type="dxa"/>
              <w:right w:w="108" w:type="dxa"/>
            </w:tcMar>
            <w:hideMark/>
          </w:tcPr>
          <w:p w14:paraId="1E13B198"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Impairments</w:t>
            </w:r>
          </w:p>
        </w:tc>
        <w:tc>
          <w:tcPr>
            <w:tcW w:w="4010" w:type="pct"/>
            <w:shd w:val="clear" w:color="auto" w:fill="FFFFFF"/>
            <w:tcMar>
              <w:top w:w="0" w:type="dxa"/>
              <w:left w:w="108" w:type="dxa"/>
              <w:bottom w:w="0" w:type="dxa"/>
              <w:right w:w="108" w:type="dxa"/>
            </w:tcMar>
            <w:hideMark/>
          </w:tcPr>
          <w:p w14:paraId="7490E151"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Primary or secondary capital instruments of any bank</w:t>
            </w:r>
          </w:p>
          <w:p w14:paraId="7520DD1B"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Other debt instruments issued by banks and mutual banks (for example non-qualifying capital) and acknowledgements of debt related, either directly or indirectly, to the funding of capital and unimpaired reserve funds</w:t>
            </w:r>
          </w:p>
          <w:p w14:paraId="08CF383E"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Acknowledgements of debt issued to fund, either directly or indirectly, debt instruments that rank as qualifying capital and unimpaired reserve funds shall be an impairment of the issuer’s capital and unimpaired reserve funds to the outstanding extent of such acknowledgements of debt</w:t>
            </w:r>
          </w:p>
          <w:p w14:paraId="10AD5780" w14:textId="77777777" w:rsidR="00690243" w:rsidRPr="00690243" w:rsidRDefault="00690243" w:rsidP="00690243">
            <w:pPr>
              <w:spacing w:after="0" w:line="240" w:lineRule="auto"/>
              <w:jc w:val="both"/>
              <w:rPr>
                <w:rFonts w:ascii="Arial" w:hAnsi="Arial" w:cs="Arial"/>
                <w:sz w:val="24"/>
                <w:szCs w:val="24"/>
              </w:rPr>
            </w:pPr>
            <w:r w:rsidRPr="00690243">
              <w:rPr>
                <w:rFonts w:ascii="Arial" w:hAnsi="Arial" w:cs="Arial"/>
                <w:sz w:val="24"/>
                <w:szCs w:val="24"/>
              </w:rPr>
              <w:t>Deferred tax debits arising from an assessed loss</w:t>
            </w:r>
          </w:p>
        </w:tc>
      </w:tr>
    </w:tbl>
    <w:p w14:paraId="2DEB58B0" w14:textId="770583D1" w:rsidR="00690243" w:rsidRPr="00690243" w:rsidRDefault="00690243" w:rsidP="00690243">
      <w:pPr>
        <w:spacing w:after="0" w:line="240" w:lineRule="auto"/>
        <w:jc w:val="both"/>
        <w:rPr>
          <w:rFonts w:ascii="Arial" w:hAnsi="Arial" w:cs="Arial"/>
          <w:sz w:val="24"/>
          <w:szCs w:val="24"/>
        </w:rPr>
      </w:pPr>
    </w:p>
    <w:p w14:paraId="573FC179" w14:textId="77777777" w:rsidR="00956DBB" w:rsidRPr="00956DBB" w:rsidRDefault="00956DBB" w:rsidP="00690243">
      <w:pPr>
        <w:spacing w:after="0" w:line="240" w:lineRule="auto"/>
        <w:jc w:val="both"/>
        <w:rPr>
          <w:rFonts w:ascii="Arial" w:hAnsi="Arial" w:cs="Arial"/>
          <w:sz w:val="24"/>
          <w:szCs w:val="24"/>
        </w:rPr>
      </w:pPr>
    </w:p>
    <w:sectPr w:rsidR="00956DBB" w:rsidRPr="00956DBB">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42682" w14:textId="77777777" w:rsidR="008260F3" w:rsidRDefault="008260F3" w:rsidP="00F72CCE">
      <w:pPr>
        <w:spacing w:after="0" w:line="240" w:lineRule="auto"/>
      </w:pPr>
      <w:r>
        <w:separator/>
      </w:r>
    </w:p>
  </w:endnote>
  <w:endnote w:type="continuationSeparator" w:id="0">
    <w:p w14:paraId="6842E40D" w14:textId="77777777" w:rsidR="008260F3" w:rsidRDefault="008260F3" w:rsidP="00F7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611956"/>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45425B8" w14:textId="6A5CE771" w:rsidR="00F72CCE" w:rsidRPr="00F72CCE" w:rsidRDefault="00F72CCE">
            <w:pPr>
              <w:pStyle w:val="Footer"/>
              <w:jc w:val="right"/>
              <w:rPr>
                <w:rFonts w:ascii="Arial" w:hAnsi="Arial" w:cs="Arial"/>
              </w:rPr>
            </w:pPr>
            <w:r w:rsidRPr="00F72CCE">
              <w:rPr>
                <w:rFonts w:ascii="Arial" w:hAnsi="Arial" w:cs="Arial"/>
              </w:rPr>
              <w:t xml:space="preserve">Page </w:t>
            </w:r>
            <w:r w:rsidRPr="00F72CCE">
              <w:rPr>
                <w:rFonts w:ascii="Arial" w:hAnsi="Arial" w:cs="Arial"/>
                <w:b/>
                <w:bCs/>
                <w:sz w:val="24"/>
                <w:szCs w:val="24"/>
              </w:rPr>
              <w:fldChar w:fldCharType="begin"/>
            </w:r>
            <w:r w:rsidRPr="00F72CCE">
              <w:rPr>
                <w:rFonts w:ascii="Arial" w:hAnsi="Arial" w:cs="Arial"/>
                <w:b/>
                <w:bCs/>
              </w:rPr>
              <w:instrText xml:space="preserve"> PAGE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r w:rsidRPr="00F72CCE">
              <w:rPr>
                <w:rFonts w:ascii="Arial" w:hAnsi="Arial" w:cs="Arial"/>
              </w:rPr>
              <w:t xml:space="preserve"> of </w:t>
            </w:r>
            <w:r w:rsidRPr="00F72CCE">
              <w:rPr>
                <w:rFonts w:ascii="Arial" w:hAnsi="Arial" w:cs="Arial"/>
                <w:b/>
                <w:bCs/>
                <w:sz w:val="24"/>
                <w:szCs w:val="24"/>
              </w:rPr>
              <w:fldChar w:fldCharType="begin"/>
            </w:r>
            <w:r w:rsidRPr="00F72CCE">
              <w:rPr>
                <w:rFonts w:ascii="Arial" w:hAnsi="Arial" w:cs="Arial"/>
                <w:b/>
                <w:bCs/>
              </w:rPr>
              <w:instrText xml:space="preserve"> NUMPAGES  </w:instrText>
            </w:r>
            <w:r w:rsidRPr="00F72CCE">
              <w:rPr>
                <w:rFonts w:ascii="Arial" w:hAnsi="Arial" w:cs="Arial"/>
                <w:b/>
                <w:bCs/>
                <w:sz w:val="24"/>
                <w:szCs w:val="24"/>
              </w:rPr>
              <w:fldChar w:fldCharType="separate"/>
            </w:r>
            <w:r w:rsidRPr="00F72CCE">
              <w:rPr>
                <w:rFonts w:ascii="Arial" w:hAnsi="Arial" w:cs="Arial"/>
                <w:b/>
                <w:bCs/>
                <w:noProof/>
              </w:rPr>
              <w:t>2</w:t>
            </w:r>
            <w:r w:rsidRPr="00F72CCE">
              <w:rPr>
                <w:rFonts w:ascii="Arial" w:hAnsi="Arial" w:cs="Arial"/>
                <w:b/>
                <w:bCs/>
                <w:sz w:val="24"/>
                <w:szCs w:val="24"/>
              </w:rPr>
              <w:fldChar w:fldCharType="end"/>
            </w:r>
          </w:p>
        </w:sdtContent>
      </w:sdt>
    </w:sdtContent>
  </w:sdt>
  <w:p w14:paraId="5F796835" w14:textId="77777777" w:rsidR="00F72CCE" w:rsidRDefault="00F72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0F4BC" w14:textId="77777777" w:rsidR="008260F3" w:rsidRDefault="008260F3" w:rsidP="00F72CCE">
      <w:pPr>
        <w:spacing w:after="0" w:line="240" w:lineRule="auto"/>
      </w:pPr>
      <w:r>
        <w:separator/>
      </w:r>
    </w:p>
  </w:footnote>
  <w:footnote w:type="continuationSeparator" w:id="0">
    <w:p w14:paraId="7060F9A5" w14:textId="77777777" w:rsidR="008260F3" w:rsidRDefault="008260F3" w:rsidP="00F72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D120D"/>
    <w:multiLevelType w:val="hybridMultilevel"/>
    <w:tmpl w:val="4CCA4F96"/>
    <w:lvl w:ilvl="0" w:tplc="58B0C5B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57C01EC0"/>
    <w:multiLevelType w:val="hybridMultilevel"/>
    <w:tmpl w:val="208C0DC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5EA80E3C"/>
    <w:multiLevelType w:val="hybridMultilevel"/>
    <w:tmpl w:val="4E46319C"/>
    <w:lvl w:ilvl="0" w:tplc="E60C018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204730">
    <w:abstractNumId w:val="1"/>
  </w:num>
  <w:num w:numId="2" w16cid:durableId="625546607">
    <w:abstractNumId w:val="2"/>
  </w:num>
  <w:num w:numId="3" w16cid:durableId="539174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CCE"/>
    <w:rsid w:val="00034499"/>
    <w:rsid w:val="000F6244"/>
    <w:rsid w:val="001E2BDE"/>
    <w:rsid w:val="002910B4"/>
    <w:rsid w:val="002D4C86"/>
    <w:rsid w:val="00310CA1"/>
    <w:rsid w:val="004716AA"/>
    <w:rsid w:val="005B2380"/>
    <w:rsid w:val="00636F5C"/>
    <w:rsid w:val="0065228B"/>
    <w:rsid w:val="00690243"/>
    <w:rsid w:val="006D73BA"/>
    <w:rsid w:val="007612FC"/>
    <w:rsid w:val="008122B2"/>
    <w:rsid w:val="008260F3"/>
    <w:rsid w:val="00845843"/>
    <w:rsid w:val="0093469F"/>
    <w:rsid w:val="00956DBB"/>
    <w:rsid w:val="009C52DF"/>
    <w:rsid w:val="00A07255"/>
    <w:rsid w:val="00A427C0"/>
    <w:rsid w:val="00AA4483"/>
    <w:rsid w:val="00BB5268"/>
    <w:rsid w:val="00BB5D4D"/>
    <w:rsid w:val="00BD46A5"/>
    <w:rsid w:val="00C359AD"/>
    <w:rsid w:val="00C36E40"/>
    <w:rsid w:val="00C81E27"/>
    <w:rsid w:val="00C94F08"/>
    <w:rsid w:val="00CF3802"/>
    <w:rsid w:val="00D86D0A"/>
    <w:rsid w:val="00DB51EB"/>
    <w:rsid w:val="00E86A34"/>
    <w:rsid w:val="00F72CCE"/>
    <w:rsid w:val="00FB34B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FD24"/>
  <w15:chartTrackingRefBased/>
  <w15:docId w15:val="{2F135A65-CB56-48DB-9965-8000D6DC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C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2C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2C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2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2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2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2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2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2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C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2C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2C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2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2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2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2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2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2CCE"/>
    <w:rPr>
      <w:rFonts w:eastAsiaTheme="majorEastAsia" w:cstheme="majorBidi"/>
      <w:color w:val="272727" w:themeColor="text1" w:themeTint="D8"/>
    </w:rPr>
  </w:style>
  <w:style w:type="paragraph" w:styleId="Title">
    <w:name w:val="Title"/>
    <w:basedOn w:val="Normal"/>
    <w:next w:val="Normal"/>
    <w:link w:val="TitleChar"/>
    <w:uiPriority w:val="10"/>
    <w:qFormat/>
    <w:rsid w:val="00F72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2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2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2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2CCE"/>
    <w:pPr>
      <w:spacing w:before="160"/>
      <w:jc w:val="center"/>
    </w:pPr>
    <w:rPr>
      <w:i/>
      <w:iCs/>
      <w:color w:val="404040" w:themeColor="text1" w:themeTint="BF"/>
    </w:rPr>
  </w:style>
  <w:style w:type="character" w:customStyle="1" w:styleId="QuoteChar">
    <w:name w:val="Quote Char"/>
    <w:basedOn w:val="DefaultParagraphFont"/>
    <w:link w:val="Quote"/>
    <w:uiPriority w:val="29"/>
    <w:rsid w:val="00F72CCE"/>
    <w:rPr>
      <w:i/>
      <w:iCs/>
      <w:color w:val="404040" w:themeColor="text1" w:themeTint="BF"/>
    </w:rPr>
  </w:style>
  <w:style w:type="paragraph" w:styleId="ListParagraph">
    <w:name w:val="List Paragraph"/>
    <w:basedOn w:val="Normal"/>
    <w:uiPriority w:val="34"/>
    <w:qFormat/>
    <w:rsid w:val="00F72CCE"/>
    <w:pPr>
      <w:ind w:left="720"/>
      <w:contextualSpacing/>
    </w:pPr>
  </w:style>
  <w:style w:type="character" w:styleId="IntenseEmphasis">
    <w:name w:val="Intense Emphasis"/>
    <w:basedOn w:val="DefaultParagraphFont"/>
    <w:uiPriority w:val="21"/>
    <w:qFormat/>
    <w:rsid w:val="00F72CCE"/>
    <w:rPr>
      <w:i/>
      <w:iCs/>
      <w:color w:val="0F4761" w:themeColor="accent1" w:themeShade="BF"/>
    </w:rPr>
  </w:style>
  <w:style w:type="paragraph" w:styleId="IntenseQuote">
    <w:name w:val="Intense Quote"/>
    <w:basedOn w:val="Normal"/>
    <w:next w:val="Normal"/>
    <w:link w:val="IntenseQuoteChar"/>
    <w:uiPriority w:val="30"/>
    <w:qFormat/>
    <w:rsid w:val="00F72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2CCE"/>
    <w:rPr>
      <w:i/>
      <w:iCs/>
      <w:color w:val="0F4761" w:themeColor="accent1" w:themeShade="BF"/>
    </w:rPr>
  </w:style>
  <w:style w:type="character" w:styleId="IntenseReference">
    <w:name w:val="Intense Reference"/>
    <w:basedOn w:val="DefaultParagraphFont"/>
    <w:uiPriority w:val="32"/>
    <w:qFormat/>
    <w:rsid w:val="00F72CCE"/>
    <w:rPr>
      <w:b/>
      <w:bCs/>
      <w:smallCaps/>
      <w:color w:val="0F4761" w:themeColor="accent1" w:themeShade="BF"/>
      <w:spacing w:val="5"/>
    </w:rPr>
  </w:style>
  <w:style w:type="paragraph" w:styleId="Header">
    <w:name w:val="header"/>
    <w:basedOn w:val="Normal"/>
    <w:link w:val="HeaderChar"/>
    <w:uiPriority w:val="99"/>
    <w:unhideWhenUsed/>
    <w:rsid w:val="00F72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CCE"/>
  </w:style>
  <w:style w:type="paragraph" w:styleId="Footer">
    <w:name w:val="footer"/>
    <w:basedOn w:val="Normal"/>
    <w:link w:val="FooterChar"/>
    <w:uiPriority w:val="99"/>
    <w:unhideWhenUsed/>
    <w:rsid w:val="00F72C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CCE"/>
  </w:style>
  <w:style w:type="character" w:styleId="Hyperlink">
    <w:name w:val="Hyperlink"/>
    <w:basedOn w:val="DefaultParagraphFont"/>
    <w:uiPriority w:val="99"/>
    <w:unhideWhenUsed/>
    <w:rsid w:val="00690243"/>
    <w:rPr>
      <w:color w:val="467886" w:themeColor="hyperlink"/>
      <w:u w:val="single"/>
    </w:rPr>
  </w:style>
  <w:style w:type="character" w:styleId="UnresolvedMention">
    <w:name w:val="Unresolved Mention"/>
    <w:basedOn w:val="DefaultParagraphFont"/>
    <w:uiPriority w:val="99"/>
    <w:semiHidden/>
    <w:unhideWhenUsed/>
    <w:rsid w:val="006902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63143">
      <w:bodyDiv w:val="1"/>
      <w:marLeft w:val="0"/>
      <w:marRight w:val="0"/>
      <w:marTop w:val="0"/>
      <w:marBottom w:val="0"/>
      <w:divBdr>
        <w:top w:val="none" w:sz="0" w:space="0" w:color="auto"/>
        <w:left w:val="none" w:sz="0" w:space="0" w:color="auto"/>
        <w:bottom w:val="none" w:sz="0" w:space="0" w:color="auto"/>
        <w:right w:val="none" w:sz="0" w:space="0" w:color="auto"/>
      </w:divBdr>
    </w:div>
    <w:div w:id="690497771">
      <w:bodyDiv w:val="1"/>
      <w:marLeft w:val="0"/>
      <w:marRight w:val="0"/>
      <w:marTop w:val="0"/>
      <w:marBottom w:val="0"/>
      <w:divBdr>
        <w:top w:val="none" w:sz="0" w:space="0" w:color="auto"/>
        <w:left w:val="none" w:sz="0" w:space="0" w:color="auto"/>
        <w:bottom w:val="none" w:sz="0" w:space="0" w:color="auto"/>
        <w:right w:val="none" w:sz="0" w:space="0" w:color="auto"/>
      </w:divBdr>
    </w:div>
    <w:div w:id="787967140">
      <w:bodyDiv w:val="1"/>
      <w:marLeft w:val="0"/>
      <w:marRight w:val="0"/>
      <w:marTop w:val="0"/>
      <w:marBottom w:val="0"/>
      <w:divBdr>
        <w:top w:val="none" w:sz="0" w:space="0" w:color="auto"/>
        <w:left w:val="none" w:sz="0" w:space="0" w:color="auto"/>
        <w:bottom w:val="none" w:sz="0" w:space="0" w:color="auto"/>
        <w:right w:val="none" w:sz="0" w:space="0" w:color="auto"/>
      </w:divBdr>
    </w:div>
    <w:div w:id="1319724263">
      <w:bodyDiv w:val="1"/>
      <w:marLeft w:val="0"/>
      <w:marRight w:val="0"/>
      <w:marTop w:val="0"/>
      <w:marBottom w:val="0"/>
      <w:divBdr>
        <w:top w:val="none" w:sz="0" w:space="0" w:color="auto"/>
        <w:left w:val="none" w:sz="0" w:space="0" w:color="auto"/>
        <w:bottom w:val="none" w:sz="0" w:space="0" w:color="auto"/>
        <w:right w:val="none" w:sz="0" w:space="0" w:color="auto"/>
      </w:divBdr>
    </w:div>
    <w:div w:id="1376084565">
      <w:bodyDiv w:val="1"/>
      <w:marLeft w:val="0"/>
      <w:marRight w:val="0"/>
      <w:marTop w:val="0"/>
      <w:marBottom w:val="0"/>
      <w:divBdr>
        <w:top w:val="none" w:sz="0" w:space="0" w:color="auto"/>
        <w:left w:val="none" w:sz="0" w:space="0" w:color="auto"/>
        <w:bottom w:val="none" w:sz="0" w:space="0" w:color="auto"/>
        <w:right w:val="none" w:sz="0" w:space="0" w:color="auto"/>
      </w:divBdr>
    </w:div>
    <w:div w:id="139211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discover.sabinet.co.za/viewer/1165961"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42CA1A3EF3CA49A7267E001CC5DA2B" ma:contentTypeVersion="4" ma:contentTypeDescription="Create a new document." ma:contentTypeScope="" ma:versionID="9d4506a198993af26abf17c23da026ad">
  <xsd:schema xmlns:xsd="http://www.w3.org/2001/XMLSchema" xmlns:xs="http://www.w3.org/2001/XMLSchema" xmlns:p="http://schemas.microsoft.com/office/2006/metadata/properties" xmlns:ns2="5f2fb132-bb82-4cf7-820b-340297f9a1c2" targetNamespace="http://schemas.microsoft.com/office/2006/metadata/properties" ma:root="true" ma:fieldsID="cf054e7e08442dae09f460d8d1124d57" ns2:_="">
    <xsd:import namespace="5f2fb132-bb82-4cf7-820b-340297f9a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fb132-bb82-4cf7-820b-340297f9a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B83CB6-7B12-4609-A80E-7BBC58CC92F2}"/>
</file>

<file path=customXml/itemProps2.xml><?xml version="1.0" encoding="utf-8"?>
<ds:datastoreItem xmlns:ds="http://schemas.openxmlformats.org/officeDocument/2006/customXml" ds:itemID="{31D5ECE1-399C-483A-B353-3B8385C819DA}"/>
</file>

<file path=customXml/itemProps3.xml><?xml version="1.0" encoding="utf-8"?>
<ds:datastoreItem xmlns:ds="http://schemas.openxmlformats.org/officeDocument/2006/customXml" ds:itemID="{346FA9EE-4836-4778-84B9-DDFC1470A9C7}"/>
</file>

<file path=docMetadata/LabelInfo.xml><?xml version="1.0" encoding="utf-8"?>
<clbl:labelList xmlns:clbl="http://schemas.microsoft.com/office/2020/mipLabelMetadata">
  <clbl:label id="{70c52299-74de-4dfd-b117-c9c408edfa50}" enabled="1" method="Standard" siteId="{853cbaab-a620-4178-8933-88d76414184a}"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Resbank</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Elize Myburgh</dc:creator>
  <cp:keywords/>
  <dc:description/>
  <cp:lastModifiedBy>Elize Myburgh</cp:lastModifiedBy>
  <cp:revision>9</cp:revision>
  <dcterms:created xsi:type="dcterms:W3CDTF">2025-02-05T11:56:00Z</dcterms:created>
  <dcterms:modified xsi:type="dcterms:W3CDTF">2025-02-06T08:14:00Z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0x0101002C42CA1A3EF3CA49A7267E001CC5DA2B</vt:lpwstr>
  </property>
</Properties>
</file>